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CC" w:rsidRPr="00127654" w:rsidRDefault="00DD38CC">
      <w:pPr>
        <w:tabs>
          <w:tab w:val="left" w:pos="6034"/>
        </w:tabs>
        <w:jc w:val="center"/>
        <w:rPr>
          <w:rFonts w:ascii="Arial" w:hAnsi="Arial"/>
          <w:b/>
          <w:sz w:val="40"/>
          <w:szCs w:val="40"/>
        </w:rPr>
      </w:pPr>
      <w:r w:rsidRPr="00127654">
        <w:rPr>
          <w:rFonts w:ascii="Arial" w:hAnsi="Arial"/>
          <w:b/>
          <w:sz w:val="40"/>
          <w:szCs w:val="40"/>
        </w:rPr>
        <w:t>Model Lesson Plan</w:t>
      </w:r>
    </w:p>
    <w:p w:rsidR="00DD38CC" w:rsidRDefault="00DD38CC" w:rsidP="00DD38CC">
      <w:pPr>
        <w:tabs>
          <w:tab w:val="left" w:pos="6034"/>
        </w:tabs>
        <w:jc w:val="center"/>
        <w:rPr>
          <w:rFonts w:ascii="Arial" w:hAnsi="Arial"/>
          <w:color w:val="808080"/>
          <w:sz w:val="20"/>
        </w:rPr>
      </w:pPr>
      <w:r>
        <w:rPr>
          <w:rFonts w:ascii="Arial" w:hAnsi="Arial"/>
          <w:color w:val="808080"/>
          <w:sz w:val="20"/>
        </w:rPr>
        <w:t>Rick Flato</w:t>
      </w:r>
    </w:p>
    <w:p w:rsidR="00DD38CC" w:rsidRDefault="00DD38CC" w:rsidP="00DD38CC">
      <w:pPr>
        <w:tabs>
          <w:tab w:val="left" w:pos="6034"/>
        </w:tabs>
        <w:jc w:val="center"/>
        <w:rPr>
          <w:rFonts w:ascii="Arial" w:hAnsi="Arial"/>
          <w:color w:val="808080"/>
          <w:sz w:val="20"/>
        </w:rPr>
      </w:pPr>
      <w:r>
        <w:rPr>
          <w:rFonts w:ascii="Arial" w:hAnsi="Arial"/>
          <w:color w:val="808080"/>
          <w:sz w:val="20"/>
        </w:rPr>
        <w:t>George Bush High School</w:t>
      </w:r>
    </w:p>
    <w:p w:rsidR="00DD38CC" w:rsidRPr="007F5E59" w:rsidRDefault="00DD38CC" w:rsidP="00DD38CC">
      <w:pPr>
        <w:tabs>
          <w:tab w:val="left" w:pos="6034"/>
        </w:tabs>
        <w:jc w:val="center"/>
        <w:rPr>
          <w:rFonts w:ascii="Arial" w:hAnsi="Arial"/>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4230"/>
        <w:gridCol w:w="3600"/>
      </w:tblGrid>
      <w:tr w:rsidR="00DD38CC">
        <w:trPr>
          <w:cantSplit/>
          <w:trHeight w:val="344"/>
        </w:trPr>
        <w:tc>
          <w:tcPr>
            <w:tcW w:w="3078" w:type="dxa"/>
          </w:tcPr>
          <w:p w:rsidR="00DD38CC" w:rsidRDefault="00DD38CC">
            <w:pPr>
              <w:tabs>
                <w:tab w:val="left" w:pos="6034"/>
              </w:tabs>
              <w:jc w:val="center"/>
              <w:rPr>
                <w:rFonts w:ascii="Arial" w:hAnsi="Arial"/>
                <w:b/>
                <w:sz w:val="20"/>
              </w:rPr>
            </w:pPr>
            <w:r>
              <w:rPr>
                <w:rFonts w:ascii="Arial" w:hAnsi="Arial"/>
                <w:b/>
                <w:sz w:val="20"/>
              </w:rPr>
              <w:t>Course:</w:t>
            </w:r>
          </w:p>
          <w:p w:rsidR="00DD38CC" w:rsidRPr="00541F10" w:rsidRDefault="00541F10">
            <w:pPr>
              <w:tabs>
                <w:tab w:val="left" w:pos="6034"/>
              </w:tabs>
              <w:jc w:val="center"/>
              <w:rPr>
                <w:rFonts w:ascii="Arial" w:hAnsi="Arial"/>
                <w:sz w:val="20"/>
              </w:rPr>
            </w:pPr>
            <w:r w:rsidRPr="00541F10">
              <w:rPr>
                <w:rFonts w:ascii="Arial" w:hAnsi="Arial"/>
                <w:sz w:val="20"/>
              </w:rPr>
              <w:t>United States H</w:t>
            </w:r>
            <w:r w:rsidR="00DD38CC" w:rsidRPr="00541F10">
              <w:rPr>
                <w:rFonts w:ascii="Arial" w:hAnsi="Arial"/>
                <w:sz w:val="20"/>
              </w:rPr>
              <w:t>istory</w:t>
            </w:r>
          </w:p>
          <w:p w:rsidR="00DD38CC" w:rsidRPr="004679B8" w:rsidRDefault="00DD38CC" w:rsidP="00DD38CC">
            <w:pPr>
              <w:tabs>
                <w:tab w:val="left" w:pos="6034"/>
              </w:tabs>
              <w:jc w:val="center"/>
              <w:rPr>
                <w:rFonts w:ascii="Arial" w:hAnsi="Arial"/>
                <w:bCs/>
                <w:sz w:val="20"/>
              </w:rPr>
            </w:pPr>
          </w:p>
        </w:tc>
        <w:tc>
          <w:tcPr>
            <w:tcW w:w="4230" w:type="dxa"/>
            <w:vMerge w:val="restart"/>
          </w:tcPr>
          <w:p w:rsidR="00DD38CC" w:rsidRDefault="00DD38CC">
            <w:pPr>
              <w:tabs>
                <w:tab w:val="left" w:pos="6034"/>
              </w:tabs>
              <w:jc w:val="center"/>
              <w:rPr>
                <w:rFonts w:ascii="Arial" w:hAnsi="Arial"/>
                <w:b/>
                <w:sz w:val="20"/>
              </w:rPr>
            </w:pPr>
            <w:r>
              <w:rPr>
                <w:rFonts w:ascii="Arial" w:hAnsi="Arial"/>
                <w:b/>
                <w:sz w:val="20"/>
              </w:rPr>
              <w:t>Title of Unit:</w:t>
            </w:r>
          </w:p>
          <w:p w:rsidR="00541F10" w:rsidRDefault="00541F10">
            <w:pPr>
              <w:tabs>
                <w:tab w:val="left" w:pos="6034"/>
              </w:tabs>
              <w:jc w:val="center"/>
              <w:rPr>
                <w:rFonts w:ascii="Arial" w:hAnsi="Arial"/>
                <w:b/>
                <w:sz w:val="20"/>
              </w:rPr>
            </w:pPr>
          </w:p>
          <w:p w:rsidR="00DD38CC" w:rsidRPr="009D1C0C" w:rsidRDefault="00DD38CC">
            <w:pPr>
              <w:tabs>
                <w:tab w:val="left" w:pos="6034"/>
              </w:tabs>
              <w:jc w:val="center"/>
              <w:rPr>
                <w:rFonts w:ascii="Arial" w:hAnsi="Arial"/>
                <w:bCs/>
                <w:sz w:val="20"/>
              </w:rPr>
            </w:pPr>
            <w:r>
              <w:rPr>
                <w:rFonts w:ascii="Arial" w:hAnsi="Arial"/>
                <w:bCs/>
                <w:sz w:val="20"/>
              </w:rPr>
              <w:t>Civil Rights</w:t>
            </w:r>
            <w:r w:rsidR="00541F10">
              <w:rPr>
                <w:rFonts w:ascii="Arial" w:hAnsi="Arial"/>
                <w:bCs/>
                <w:sz w:val="20"/>
              </w:rPr>
              <w:t xml:space="preserve"> Movement</w:t>
            </w:r>
          </w:p>
        </w:tc>
        <w:tc>
          <w:tcPr>
            <w:tcW w:w="3600" w:type="dxa"/>
          </w:tcPr>
          <w:p w:rsidR="00DD38CC" w:rsidRDefault="00DD38CC" w:rsidP="00541F10">
            <w:pPr>
              <w:tabs>
                <w:tab w:val="left" w:pos="6034"/>
              </w:tabs>
              <w:jc w:val="center"/>
              <w:rPr>
                <w:rFonts w:ascii="Arial" w:hAnsi="Arial"/>
                <w:b/>
                <w:sz w:val="20"/>
              </w:rPr>
            </w:pPr>
            <w:r>
              <w:rPr>
                <w:rFonts w:ascii="Arial" w:hAnsi="Arial"/>
                <w:b/>
                <w:sz w:val="20"/>
              </w:rPr>
              <w:t>Title of Lesson:</w:t>
            </w:r>
          </w:p>
          <w:p w:rsidR="00DD38CC" w:rsidRPr="004679B8" w:rsidRDefault="00DD38CC" w:rsidP="00DD38CC">
            <w:pPr>
              <w:tabs>
                <w:tab w:val="left" w:pos="6034"/>
              </w:tabs>
              <w:jc w:val="center"/>
              <w:rPr>
                <w:rFonts w:ascii="Arial" w:hAnsi="Arial"/>
                <w:bCs/>
                <w:sz w:val="20"/>
              </w:rPr>
            </w:pPr>
            <w:r w:rsidRPr="009D1C0C">
              <w:rPr>
                <w:rFonts w:ascii="Arial" w:hAnsi="Arial"/>
                <w:bCs/>
                <w:i/>
                <w:sz w:val="20"/>
              </w:rPr>
              <w:t>Hernandez v.</w:t>
            </w:r>
            <w:r>
              <w:rPr>
                <w:rFonts w:ascii="Arial" w:hAnsi="Arial"/>
                <w:bCs/>
                <w:i/>
                <w:sz w:val="20"/>
              </w:rPr>
              <w:t xml:space="preserve"> Texas</w:t>
            </w:r>
            <w:r>
              <w:rPr>
                <w:rFonts w:ascii="Arial" w:hAnsi="Arial"/>
                <w:bCs/>
                <w:sz w:val="20"/>
              </w:rPr>
              <w:t>: A Class Apart</w:t>
            </w:r>
          </w:p>
        </w:tc>
      </w:tr>
      <w:tr w:rsidR="00DD38CC">
        <w:trPr>
          <w:cantSplit/>
          <w:trHeight w:val="343"/>
        </w:trPr>
        <w:tc>
          <w:tcPr>
            <w:tcW w:w="3078" w:type="dxa"/>
          </w:tcPr>
          <w:p w:rsidR="00DD38CC" w:rsidRDefault="00DD38CC">
            <w:pPr>
              <w:tabs>
                <w:tab w:val="left" w:pos="6034"/>
              </w:tabs>
              <w:jc w:val="center"/>
              <w:rPr>
                <w:rFonts w:ascii="Arial" w:hAnsi="Arial"/>
                <w:b/>
                <w:sz w:val="20"/>
              </w:rPr>
            </w:pPr>
            <w:r>
              <w:rPr>
                <w:rFonts w:ascii="Arial" w:hAnsi="Arial"/>
                <w:b/>
                <w:sz w:val="20"/>
              </w:rPr>
              <w:t>Grade Level:</w:t>
            </w:r>
          </w:p>
          <w:p w:rsidR="00DD38CC" w:rsidRPr="00541F10" w:rsidRDefault="00DD38CC">
            <w:pPr>
              <w:tabs>
                <w:tab w:val="left" w:pos="6034"/>
              </w:tabs>
              <w:jc w:val="center"/>
              <w:rPr>
                <w:rFonts w:ascii="Arial" w:hAnsi="Arial"/>
                <w:sz w:val="20"/>
              </w:rPr>
            </w:pPr>
            <w:r w:rsidRPr="00541F10">
              <w:rPr>
                <w:rFonts w:ascii="Arial" w:hAnsi="Arial"/>
                <w:sz w:val="20"/>
              </w:rPr>
              <w:t>11</w:t>
            </w:r>
          </w:p>
          <w:p w:rsidR="00DD38CC" w:rsidRPr="004679B8" w:rsidRDefault="00DD38CC" w:rsidP="00DD38CC">
            <w:pPr>
              <w:tabs>
                <w:tab w:val="left" w:pos="6034"/>
              </w:tabs>
              <w:jc w:val="center"/>
              <w:rPr>
                <w:rFonts w:ascii="Arial" w:hAnsi="Arial"/>
                <w:bCs/>
                <w:sz w:val="20"/>
              </w:rPr>
            </w:pPr>
          </w:p>
        </w:tc>
        <w:tc>
          <w:tcPr>
            <w:tcW w:w="4230" w:type="dxa"/>
            <w:vMerge/>
          </w:tcPr>
          <w:p w:rsidR="00DD38CC" w:rsidRDefault="00DD38CC">
            <w:pPr>
              <w:tabs>
                <w:tab w:val="left" w:pos="6034"/>
              </w:tabs>
              <w:jc w:val="center"/>
              <w:rPr>
                <w:rFonts w:ascii="Arial" w:hAnsi="Arial"/>
                <w:b/>
                <w:sz w:val="20"/>
              </w:rPr>
            </w:pPr>
          </w:p>
        </w:tc>
        <w:tc>
          <w:tcPr>
            <w:tcW w:w="3600" w:type="dxa"/>
          </w:tcPr>
          <w:p w:rsidR="00DD38CC" w:rsidRDefault="00DD38CC">
            <w:pPr>
              <w:tabs>
                <w:tab w:val="left" w:pos="6034"/>
              </w:tabs>
              <w:jc w:val="center"/>
              <w:rPr>
                <w:rFonts w:ascii="Arial" w:hAnsi="Arial"/>
                <w:b/>
                <w:sz w:val="20"/>
              </w:rPr>
            </w:pPr>
            <w:r>
              <w:rPr>
                <w:rFonts w:ascii="Arial" w:hAnsi="Arial"/>
                <w:b/>
                <w:sz w:val="20"/>
              </w:rPr>
              <w:t>Time Frame:</w:t>
            </w:r>
          </w:p>
          <w:p w:rsidR="00DD38CC" w:rsidRPr="004679B8" w:rsidRDefault="00DD38CC">
            <w:pPr>
              <w:tabs>
                <w:tab w:val="left" w:pos="6034"/>
              </w:tabs>
              <w:jc w:val="center"/>
              <w:rPr>
                <w:rFonts w:ascii="Arial" w:hAnsi="Arial"/>
                <w:bCs/>
                <w:sz w:val="20"/>
              </w:rPr>
            </w:pPr>
            <w:r>
              <w:rPr>
                <w:rFonts w:ascii="Arial" w:hAnsi="Arial"/>
                <w:bCs/>
                <w:sz w:val="20"/>
              </w:rPr>
              <w:t>50 minutes</w:t>
            </w:r>
          </w:p>
        </w:tc>
      </w:tr>
    </w:tbl>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541F10" w:rsidTr="00541F10">
        <w:tc>
          <w:tcPr>
            <w:tcW w:w="10908" w:type="dxa"/>
          </w:tcPr>
          <w:p w:rsidR="00541F10" w:rsidRPr="00D21E53" w:rsidRDefault="00541F10" w:rsidP="00541F10">
            <w:pPr>
              <w:pStyle w:val="Heading1"/>
            </w:pPr>
            <w:r>
              <w:t>Description</w:t>
            </w:r>
          </w:p>
          <w:p w:rsidR="00541F10" w:rsidRDefault="00541F10" w:rsidP="00541F10">
            <w:pPr>
              <w:rPr>
                <w:rFonts w:ascii="Arial" w:hAnsi="Arial"/>
                <w:sz w:val="20"/>
              </w:rPr>
            </w:pPr>
            <w:r w:rsidRPr="00060F95">
              <w:rPr>
                <w:rFonts w:ascii="Arial" w:hAnsi="Arial"/>
                <w:sz w:val="20"/>
              </w:rPr>
              <w:t xml:space="preserve">The United States Supreme Court case of </w:t>
            </w:r>
            <w:r w:rsidRPr="00060F95">
              <w:rPr>
                <w:rFonts w:ascii="Arial" w:hAnsi="Arial"/>
                <w:i/>
                <w:sz w:val="20"/>
              </w:rPr>
              <w:t>Hernandez v. Texas</w:t>
            </w:r>
            <w:r w:rsidRPr="00060F95">
              <w:rPr>
                <w:rFonts w:ascii="Arial" w:hAnsi="Arial"/>
                <w:sz w:val="20"/>
              </w:rPr>
              <w:t>, de</w:t>
            </w:r>
            <w:r>
              <w:rPr>
                <w:rFonts w:ascii="Arial" w:hAnsi="Arial"/>
                <w:sz w:val="20"/>
              </w:rPr>
              <w:t xml:space="preserve">cided on May 3, 1954, </w:t>
            </w:r>
            <w:r w:rsidRPr="00060F95">
              <w:rPr>
                <w:rFonts w:ascii="Arial" w:hAnsi="Arial"/>
                <w:sz w:val="20"/>
              </w:rPr>
              <w:t xml:space="preserve">a mere 2 weeks before the landmark </w:t>
            </w:r>
            <w:r w:rsidRPr="00060F95">
              <w:rPr>
                <w:rFonts w:ascii="Arial" w:hAnsi="Arial"/>
                <w:i/>
                <w:sz w:val="20"/>
              </w:rPr>
              <w:t>Brown v. Board of Education</w:t>
            </w:r>
            <w:r w:rsidRPr="00060F95">
              <w:rPr>
                <w:rFonts w:ascii="Arial" w:hAnsi="Arial"/>
                <w:sz w:val="20"/>
              </w:rPr>
              <w:t xml:space="preserve"> decision, helped pave the way for minority rights under the Fourteenth Amendment’s Equal Protection Clause. This case is of major importance due to the decision that affirmed that persons of Latin American origin or descent were “A Class Apart” in Texas during the 1950s. </w:t>
            </w:r>
          </w:p>
          <w:p w:rsidR="00541F10" w:rsidRPr="00060F95" w:rsidRDefault="00541F10" w:rsidP="00541F10">
            <w:pPr>
              <w:rPr>
                <w:rFonts w:ascii="Arial" w:hAnsi="Arial"/>
                <w:sz w:val="20"/>
              </w:rPr>
            </w:pPr>
          </w:p>
        </w:tc>
      </w:tr>
      <w:tr w:rsidR="00541F10" w:rsidTr="00541F10">
        <w:tc>
          <w:tcPr>
            <w:tcW w:w="10908" w:type="dxa"/>
          </w:tcPr>
          <w:p w:rsidR="00541F10" w:rsidRPr="007F5E59" w:rsidRDefault="00541F10" w:rsidP="00541F10">
            <w:pPr>
              <w:pStyle w:val="Heading1"/>
              <w:rPr>
                <w:b w:val="0"/>
                <w:color w:val="808080"/>
              </w:rPr>
            </w:pPr>
            <w:r>
              <w:t xml:space="preserve">TEKS Objectives </w:t>
            </w:r>
          </w:p>
          <w:p w:rsidR="00541F10" w:rsidRPr="00060F95" w:rsidRDefault="00541F10" w:rsidP="00541F10">
            <w:pPr>
              <w:tabs>
                <w:tab w:val="left" w:pos="6034"/>
              </w:tabs>
              <w:ind w:left="720"/>
              <w:rPr>
                <w:rFonts w:ascii="Arial" w:hAnsi="Arial"/>
                <w:sz w:val="20"/>
              </w:rPr>
            </w:pPr>
            <w:r w:rsidRPr="00541F10">
              <w:rPr>
                <w:rFonts w:ascii="Arial" w:hAnsi="Arial"/>
                <w:b/>
                <w:sz w:val="20"/>
              </w:rPr>
              <w:t>US9(I) </w:t>
            </w:r>
            <w:r>
              <w:rPr>
                <w:rFonts w:ascii="Arial" w:hAnsi="Arial"/>
                <w:sz w:val="20"/>
              </w:rPr>
              <w:t xml:space="preserve">- </w:t>
            </w:r>
            <w:r w:rsidRPr="00060F95">
              <w:rPr>
                <w:rFonts w:ascii="Arial" w:hAnsi="Arial"/>
                <w:sz w:val="20"/>
              </w:rPr>
              <w:t>describe how litigation such as the landmark cases of … Hernandez v. Texas… played a role in protecting the rights of the minority during the civil rights movement.</w:t>
            </w:r>
          </w:p>
          <w:p w:rsidR="00541F10" w:rsidRPr="00060F95" w:rsidRDefault="00541F10" w:rsidP="00541F10">
            <w:pPr>
              <w:tabs>
                <w:tab w:val="left" w:pos="6034"/>
              </w:tabs>
              <w:ind w:left="720"/>
              <w:rPr>
                <w:rFonts w:ascii="Arial" w:hAnsi="Arial"/>
                <w:sz w:val="20"/>
              </w:rPr>
            </w:pPr>
            <w:r w:rsidRPr="00541F10">
              <w:rPr>
                <w:rFonts w:ascii="Arial" w:hAnsi="Arial"/>
                <w:b/>
                <w:sz w:val="20"/>
              </w:rPr>
              <w:t>US21(A)</w:t>
            </w:r>
            <w:r>
              <w:rPr>
                <w:rFonts w:ascii="Arial" w:hAnsi="Arial"/>
                <w:b/>
                <w:sz w:val="20"/>
              </w:rPr>
              <w:t xml:space="preserve"> </w:t>
            </w:r>
            <w:r>
              <w:rPr>
                <w:rFonts w:ascii="Arial" w:hAnsi="Arial"/>
                <w:sz w:val="20"/>
              </w:rPr>
              <w:t xml:space="preserve">- </w:t>
            </w:r>
            <w:r w:rsidRPr="00060F95">
              <w:rPr>
                <w:rFonts w:ascii="Arial" w:hAnsi="Arial"/>
                <w:sz w:val="20"/>
              </w:rPr>
              <w:t>analyze the effects of landmark U.S. Supreme Court decisions, including… Hernandez v. Texas…</w:t>
            </w:r>
          </w:p>
          <w:p w:rsidR="00541F10" w:rsidRPr="00060F95" w:rsidRDefault="00541F10" w:rsidP="00541F10">
            <w:pPr>
              <w:tabs>
                <w:tab w:val="left" w:pos="6034"/>
              </w:tabs>
              <w:ind w:left="720"/>
              <w:rPr>
                <w:rFonts w:ascii="Arial" w:hAnsi="Arial"/>
                <w:sz w:val="20"/>
              </w:rPr>
            </w:pPr>
            <w:r w:rsidRPr="00541F10">
              <w:rPr>
                <w:rFonts w:ascii="Arial" w:hAnsi="Arial"/>
                <w:b/>
                <w:sz w:val="20"/>
              </w:rPr>
              <w:t>US29(A</w:t>
            </w:r>
            <w:r w:rsidRPr="00541F10">
              <w:rPr>
                <w:rFonts w:ascii="Arial" w:hAnsi="Arial"/>
                <w:sz w:val="20"/>
              </w:rPr>
              <w:t>)</w:t>
            </w:r>
            <w:r>
              <w:rPr>
                <w:rFonts w:ascii="Arial" w:hAnsi="Arial"/>
                <w:sz w:val="20"/>
              </w:rPr>
              <w:t xml:space="preserve"> - </w:t>
            </w:r>
            <w:r w:rsidRPr="00060F95">
              <w:rPr>
                <w:rFonts w:ascii="Arial" w:hAnsi="Arial"/>
                <w:sz w:val="20"/>
              </w:rPr>
              <w:t>use a variety of both primary and secondary valid sources to acquire information and to analyze and answer historical questions.</w:t>
            </w:r>
          </w:p>
          <w:p w:rsidR="00541F10" w:rsidRPr="00060F95" w:rsidRDefault="00541F10" w:rsidP="00541F10">
            <w:pPr>
              <w:tabs>
                <w:tab w:val="left" w:pos="6034"/>
              </w:tabs>
              <w:ind w:left="720"/>
              <w:rPr>
                <w:rFonts w:ascii="Arial" w:hAnsi="Arial"/>
                <w:sz w:val="20"/>
              </w:rPr>
            </w:pPr>
            <w:r w:rsidRPr="00541F10">
              <w:rPr>
                <w:rFonts w:ascii="Arial" w:hAnsi="Arial"/>
                <w:b/>
                <w:sz w:val="20"/>
              </w:rPr>
              <w:t>US30(A)</w:t>
            </w:r>
            <w:r>
              <w:rPr>
                <w:rFonts w:ascii="Arial" w:hAnsi="Arial"/>
                <w:b/>
                <w:sz w:val="20"/>
              </w:rPr>
              <w:t xml:space="preserve"> - </w:t>
            </w:r>
            <w:r w:rsidRPr="00060F95">
              <w:rPr>
                <w:rFonts w:ascii="Arial" w:hAnsi="Arial"/>
                <w:sz w:val="20"/>
              </w:rPr>
              <w:t>create written and oral  presentations of social studies information.</w:t>
            </w:r>
          </w:p>
          <w:p w:rsidR="00541F10" w:rsidRDefault="00541F10" w:rsidP="00541F10">
            <w:pPr>
              <w:tabs>
                <w:tab w:val="left" w:pos="6034"/>
              </w:tabs>
              <w:rPr>
                <w:rFonts w:ascii="Arial" w:hAnsi="Arial"/>
                <w:sz w:val="20"/>
              </w:rPr>
            </w:pPr>
          </w:p>
        </w:tc>
      </w:tr>
      <w:tr w:rsidR="00541F10" w:rsidTr="00541F10">
        <w:tc>
          <w:tcPr>
            <w:tcW w:w="10908" w:type="dxa"/>
          </w:tcPr>
          <w:p w:rsidR="00541F10" w:rsidRPr="00D21E53" w:rsidRDefault="00541F10" w:rsidP="00541F10">
            <w:pPr>
              <w:pStyle w:val="Heading1"/>
            </w:pPr>
            <w:r>
              <w:t>Teacher to Teacher Notes</w:t>
            </w:r>
          </w:p>
          <w:p w:rsidR="00541F10" w:rsidRPr="00B3376E" w:rsidRDefault="00541F10" w:rsidP="00541F10">
            <w:pPr>
              <w:tabs>
                <w:tab w:val="left" w:pos="6034"/>
              </w:tabs>
              <w:spacing w:line="360" w:lineRule="auto"/>
              <w:rPr>
                <w:rFonts w:ascii="Arial" w:hAnsi="Arial" w:cs="Arial"/>
                <w:sz w:val="20"/>
                <w:szCs w:val="20"/>
              </w:rPr>
            </w:pPr>
            <w:r w:rsidRPr="00B3376E">
              <w:rPr>
                <w:rFonts w:ascii="Arial" w:hAnsi="Arial" w:cs="Arial"/>
                <w:sz w:val="20"/>
                <w:szCs w:val="20"/>
              </w:rPr>
              <w:t>I highly recommend the PBS Home Video, “A Class Apart—A Mexican American Civil Rights Story (2009)”. It can be used as background information for the teacher and as a follow-up to this lesson.</w:t>
            </w:r>
          </w:p>
          <w:p w:rsidR="00541F10" w:rsidRPr="00B3376E" w:rsidRDefault="00541F10" w:rsidP="00541F10">
            <w:pPr>
              <w:tabs>
                <w:tab w:val="left" w:pos="6034"/>
              </w:tabs>
              <w:spacing w:line="360" w:lineRule="auto"/>
              <w:ind w:left="720"/>
              <w:rPr>
                <w:rFonts w:ascii="Arial" w:hAnsi="Arial" w:cs="Arial"/>
                <w:sz w:val="20"/>
                <w:szCs w:val="20"/>
              </w:rPr>
            </w:pPr>
            <w:r w:rsidRPr="00B3376E">
              <w:rPr>
                <w:rFonts w:ascii="Arial" w:hAnsi="Arial" w:cs="Arial"/>
                <w:sz w:val="20"/>
                <w:szCs w:val="20"/>
              </w:rPr>
              <w:t>1.  Familiarize yourself with the overview of the case</w:t>
            </w:r>
            <w:r w:rsidR="00EE55FE">
              <w:rPr>
                <w:rFonts w:ascii="Arial" w:hAnsi="Arial" w:cs="Arial"/>
                <w:sz w:val="20"/>
                <w:szCs w:val="20"/>
              </w:rPr>
              <w:t>.</w:t>
            </w:r>
          </w:p>
          <w:p w:rsidR="00541F10" w:rsidRPr="00B3376E" w:rsidRDefault="00541F10" w:rsidP="00541F10">
            <w:pPr>
              <w:tabs>
                <w:tab w:val="left" w:pos="6034"/>
              </w:tabs>
              <w:spacing w:line="360" w:lineRule="auto"/>
              <w:ind w:left="720"/>
              <w:rPr>
                <w:rFonts w:ascii="Arial" w:hAnsi="Arial" w:cs="Arial"/>
                <w:sz w:val="20"/>
                <w:szCs w:val="20"/>
              </w:rPr>
            </w:pPr>
            <w:r w:rsidRPr="00B3376E">
              <w:rPr>
                <w:rFonts w:ascii="Arial" w:hAnsi="Arial" w:cs="Arial"/>
                <w:sz w:val="20"/>
                <w:szCs w:val="20"/>
              </w:rPr>
              <w:t xml:space="preserve">2.  Print 9 sets of packets containing: Petitioner Arguments, Respondent Arguments to give to the 9 Justices. Print 3 sets of Petitioner Arguments for Petitioner Attorneys and 3 sets of Respondent Arguments for Respondent Attorneys. </w:t>
            </w:r>
          </w:p>
          <w:p w:rsidR="00541F10" w:rsidRPr="00B3376E" w:rsidRDefault="00541F10" w:rsidP="00541F10">
            <w:pPr>
              <w:tabs>
                <w:tab w:val="left" w:pos="6034"/>
              </w:tabs>
              <w:spacing w:line="360" w:lineRule="auto"/>
              <w:ind w:left="720"/>
              <w:rPr>
                <w:rFonts w:ascii="Arial" w:hAnsi="Arial" w:cs="Arial"/>
                <w:sz w:val="20"/>
                <w:szCs w:val="20"/>
              </w:rPr>
            </w:pPr>
            <w:r w:rsidRPr="00B3376E">
              <w:rPr>
                <w:rFonts w:ascii="Arial" w:hAnsi="Arial" w:cs="Arial"/>
                <w:sz w:val="20"/>
                <w:szCs w:val="20"/>
              </w:rPr>
              <w:t>3.  Class will be divided into 4 groups: 9 Supreme Court Justices, 3 Petitioner Attorneys, 3 Respondent Attorneys and the remainder of the class</w:t>
            </w:r>
            <w:r>
              <w:rPr>
                <w:rFonts w:ascii="Arial" w:hAnsi="Arial" w:cs="Arial"/>
                <w:sz w:val="20"/>
                <w:szCs w:val="20"/>
              </w:rPr>
              <w:t xml:space="preserve"> (Special Gallery).</w:t>
            </w:r>
          </w:p>
          <w:p w:rsidR="00541F10" w:rsidRPr="00B3376E" w:rsidRDefault="00541F10" w:rsidP="00541F10">
            <w:pPr>
              <w:tabs>
                <w:tab w:val="left" w:pos="6034"/>
              </w:tabs>
              <w:spacing w:line="360" w:lineRule="auto"/>
              <w:ind w:left="720"/>
              <w:rPr>
                <w:rFonts w:ascii="Arial" w:hAnsi="Arial" w:cs="Arial"/>
                <w:sz w:val="20"/>
                <w:szCs w:val="20"/>
              </w:rPr>
            </w:pPr>
            <w:r>
              <w:rPr>
                <w:rFonts w:ascii="Arial" w:hAnsi="Arial" w:cs="Arial"/>
                <w:sz w:val="20"/>
                <w:szCs w:val="20"/>
              </w:rPr>
              <w:t>4.  If possible, arrange</w:t>
            </w:r>
            <w:r w:rsidRPr="00B3376E">
              <w:rPr>
                <w:rFonts w:ascii="Arial" w:hAnsi="Arial" w:cs="Arial"/>
                <w:sz w:val="20"/>
                <w:szCs w:val="20"/>
              </w:rPr>
              <w:t xml:space="preserve"> the classroom so the Justices are in front of the room facing the attorneys. The remaining students (Special Gallery) should be behind the attorneys.</w:t>
            </w:r>
          </w:p>
          <w:p w:rsidR="00541F10" w:rsidRPr="00E6113F" w:rsidRDefault="00541F10" w:rsidP="00541F10">
            <w:pPr>
              <w:tabs>
                <w:tab w:val="left" w:pos="6034"/>
              </w:tabs>
              <w:rPr>
                <w:rFonts w:ascii="Arial" w:hAnsi="Arial" w:cs="Arial"/>
                <w:sz w:val="20"/>
                <w:szCs w:val="20"/>
              </w:rPr>
            </w:pPr>
          </w:p>
        </w:tc>
      </w:tr>
    </w:tbl>
    <w:p w:rsidR="00DD38CC" w:rsidRDefault="00DD38CC">
      <w:pPr>
        <w:tabs>
          <w:tab w:val="left" w:pos="6034"/>
        </w:tabs>
        <w:rPr>
          <w:rFonts w:ascii="Arial" w:hAnsi="Arial"/>
          <w:b/>
          <w:sz w:val="20"/>
        </w:rPr>
      </w:pPr>
    </w:p>
    <w:p w:rsidR="00DD38CC" w:rsidRDefault="00DD38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5850"/>
      </w:tblGrid>
      <w:tr w:rsidR="00DD38CC">
        <w:tc>
          <w:tcPr>
            <w:tcW w:w="5058" w:type="dxa"/>
          </w:tcPr>
          <w:p w:rsidR="00DD38CC" w:rsidRPr="00687200" w:rsidRDefault="00DD38CC" w:rsidP="00541F10">
            <w:pPr>
              <w:pStyle w:val="Heading1"/>
            </w:pPr>
            <w:r>
              <w:t>Materials needed:</w:t>
            </w:r>
          </w:p>
          <w:p w:rsidR="00DD38CC" w:rsidRDefault="00DD38CC" w:rsidP="00DD38CC">
            <w:pPr>
              <w:rPr>
                <w:rFonts w:ascii="Arial" w:hAnsi="Arial"/>
                <w:sz w:val="20"/>
                <w:szCs w:val="20"/>
                <w:u w:val="single"/>
              </w:rPr>
            </w:pPr>
          </w:p>
          <w:p w:rsidR="00D1306D" w:rsidRDefault="00D1306D" w:rsidP="00DD38CC">
            <w:pPr>
              <w:rPr>
                <w:rFonts w:ascii="Arial" w:hAnsi="Arial"/>
                <w:sz w:val="20"/>
                <w:szCs w:val="20"/>
              </w:rPr>
            </w:pPr>
            <w:r w:rsidRPr="00207128">
              <w:rPr>
                <w:rFonts w:ascii="Arial" w:hAnsi="Arial"/>
                <w:sz w:val="20"/>
                <w:szCs w:val="20"/>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420349232" r:id="rId9">
                  <o:FieldCodes>\s</o:FieldCodes>
                </o:OLEObject>
              </w:object>
            </w:r>
            <w:r w:rsidRPr="00207128">
              <w:rPr>
                <w:rFonts w:ascii="Arial" w:hAnsi="Arial"/>
                <w:sz w:val="20"/>
                <w:szCs w:val="20"/>
              </w:rPr>
              <w:object w:dxaOrig="1536" w:dyaOrig="994">
                <v:shape id="_x0000_i1026" type="#_x0000_t75" style="width:76.5pt;height:49.5pt" o:ole="">
                  <v:imagedata r:id="rId10" o:title=""/>
                </v:shape>
                <o:OLEObject Type="Embed" ProgID="Word.Document.8" ShapeID="_x0000_i1026" DrawAspect="Icon" ObjectID="_1420349233" r:id="rId11">
                  <o:FieldCodes>\s</o:FieldCodes>
                </o:OLEObject>
              </w:object>
            </w:r>
            <w:r w:rsidRPr="00207128">
              <w:rPr>
                <w:rFonts w:ascii="Arial" w:hAnsi="Arial"/>
                <w:sz w:val="20"/>
                <w:szCs w:val="20"/>
              </w:rPr>
              <w:object w:dxaOrig="1536" w:dyaOrig="994">
                <v:shape id="_x0000_i1027" type="#_x0000_t75" style="width:76.5pt;height:49.5pt" o:ole="">
                  <v:imagedata r:id="rId12" o:title=""/>
                </v:shape>
                <o:OLEObject Type="Embed" ProgID="Word.Document.8" ShapeID="_x0000_i1027" DrawAspect="Icon" ObjectID="_1420349234" r:id="rId13">
                  <o:FieldCodes>\s</o:FieldCodes>
                </o:OLEObject>
              </w:object>
            </w:r>
            <w:r w:rsidR="00924F7D">
              <w:rPr>
                <w:rFonts w:ascii="Arial" w:hAnsi="Arial"/>
                <w:sz w:val="20"/>
                <w:szCs w:val="20"/>
              </w:rPr>
              <w:t xml:space="preserve">    </w:t>
            </w:r>
          </w:p>
          <w:p w:rsidR="00D1306D" w:rsidRDefault="00D1306D" w:rsidP="00DD38CC">
            <w:pPr>
              <w:rPr>
                <w:rFonts w:ascii="Arial" w:hAnsi="Arial"/>
                <w:sz w:val="20"/>
                <w:szCs w:val="20"/>
              </w:rPr>
            </w:pPr>
          </w:p>
          <w:p w:rsidR="00F60525" w:rsidRPr="009A4DEB" w:rsidRDefault="009A4DEB" w:rsidP="00DD38CC">
            <w:pPr>
              <w:rPr>
                <w:rFonts w:ascii="Arial" w:hAnsi="Arial"/>
                <w:color w:val="7030A0"/>
                <w:sz w:val="20"/>
                <w:szCs w:val="20"/>
              </w:rPr>
            </w:pPr>
            <w:r w:rsidRPr="009A4DEB">
              <w:rPr>
                <w:rFonts w:ascii="Arial" w:hAnsi="Arial"/>
                <w:color w:val="7030A0"/>
                <w:sz w:val="20"/>
                <w:szCs w:val="20"/>
              </w:rPr>
              <w:object w:dxaOrig="1536" w:dyaOrig="994">
                <v:shape id="_x0000_i1030" type="#_x0000_t75" style="width:76.5pt;height:49.5pt" o:ole="">
                  <v:imagedata r:id="rId14" o:title=""/>
                </v:shape>
                <o:OLEObject Type="Embed" ProgID="Excel.Sheet.8" ShapeID="_x0000_i1030" DrawAspect="Icon" ObjectID="_1420349235" r:id="rId15"/>
              </w:object>
            </w:r>
          </w:p>
          <w:p w:rsidR="00F60525" w:rsidRPr="006F5147" w:rsidRDefault="00F60525" w:rsidP="00DD38CC">
            <w:pPr>
              <w:rPr>
                <w:rFonts w:ascii="Arial" w:hAnsi="Arial"/>
                <w:sz w:val="20"/>
                <w:szCs w:val="20"/>
                <w:u w:val="single"/>
              </w:rPr>
            </w:pPr>
          </w:p>
        </w:tc>
        <w:tc>
          <w:tcPr>
            <w:tcW w:w="5850" w:type="dxa"/>
          </w:tcPr>
          <w:p w:rsidR="00DD38CC" w:rsidRDefault="00DD38CC" w:rsidP="00DD38CC">
            <w:pPr>
              <w:pStyle w:val="Heading1"/>
              <w:rPr>
                <w:b w:val="0"/>
              </w:rPr>
            </w:pPr>
            <w:r>
              <w:t>Websites used:</w:t>
            </w:r>
          </w:p>
          <w:p w:rsidR="00DD38CC" w:rsidRPr="00166B20" w:rsidRDefault="00DD38CC" w:rsidP="00DD38CC">
            <w:pPr>
              <w:rPr>
                <w:rFonts w:ascii="Arial" w:hAnsi="Arial"/>
                <w:color w:val="808080"/>
                <w:sz w:val="20"/>
              </w:rPr>
            </w:pPr>
          </w:p>
          <w:p w:rsidR="00DD38CC" w:rsidRDefault="00DD38CC" w:rsidP="00DD38CC">
            <w:pPr>
              <w:rPr>
                <w:rFonts w:ascii="Arial" w:hAnsi="Arial"/>
                <w:sz w:val="20"/>
              </w:rPr>
            </w:pPr>
            <w:r>
              <w:rPr>
                <w:rFonts w:ascii="Arial" w:hAnsi="Arial"/>
                <w:sz w:val="20"/>
              </w:rPr>
              <w:t>Overview of case</w:t>
            </w:r>
          </w:p>
          <w:p w:rsidR="00DD38CC" w:rsidRDefault="00207128" w:rsidP="00DD38CC">
            <w:pPr>
              <w:rPr>
                <w:rFonts w:ascii="Arial" w:hAnsi="Arial"/>
                <w:sz w:val="20"/>
              </w:rPr>
            </w:pPr>
            <w:hyperlink r:id="rId16" w:history="1">
              <w:r w:rsidR="00DD38CC" w:rsidRPr="00323F29">
                <w:rPr>
                  <w:rStyle w:val="Hyperlink"/>
                  <w:rFonts w:ascii="Arial" w:hAnsi="Arial"/>
                  <w:sz w:val="20"/>
                </w:rPr>
                <w:t>http://www.oyez.org/cases/1950-1959/1953/1953_406</w:t>
              </w:r>
            </w:hyperlink>
          </w:p>
          <w:p w:rsidR="00DD38CC" w:rsidRDefault="00DD38CC" w:rsidP="00DD38CC">
            <w:pPr>
              <w:rPr>
                <w:rFonts w:ascii="Arial" w:hAnsi="Arial"/>
                <w:sz w:val="20"/>
              </w:rPr>
            </w:pPr>
          </w:p>
          <w:p w:rsidR="00DD38CC" w:rsidRDefault="00DD38CC" w:rsidP="00DD38CC">
            <w:pPr>
              <w:rPr>
                <w:rFonts w:ascii="Arial" w:hAnsi="Arial"/>
                <w:sz w:val="20"/>
              </w:rPr>
            </w:pPr>
            <w:r>
              <w:rPr>
                <w:rFonts w:ascii="Arial" w:hAnsi="Arial"/>
                <w:sz w:val="20"/>
              </w:rPr>
              <w:t>Appellant and Respondent briefs</w:t>
            </w:r>
          </w:p>
          <w:p w:rsidR="00DD38CC" w:rsidRDefault="00207128" w:rsidP="00DD38CC">
            <w:pPr>
              <w:rPr>
                <w:rFonts w:ascii="Arial" w:hAnsi="Arial"/>
                <w:sz w:val="20"/>
              </w:rPr>
            </w:pPr>
            <w:hyperlink r:id="rId17" w:history="1">
              <w:r w:rsidR="00DD38CC" w:rsidRPr="00323F29">
                <w:rPr>
                  <w:rStyle w:val="Hyperlink"/>
                  <w:rFonts w:ascii="Arial" w:hAnsi="Arial"/>
                  <w:sz w:val="20"/>
                </w:rPr>
                <w:t>http://www.law.uh.edu/Hernandez50/Olivasbriefs.pdf</w:t>
              </w:r>
            </w:hyperlink>
          </w:p>
          <w:p w:rsidR="00DD38CC" w:rsidRDefault="00DD38CC" w:rsidP="00DD38CC">
            <w:pPr>
              <w:rPr>
                <w:rFonts w:ascii="Arial" w:hAnsi="Arial"/>
                <w:sz w:val="20"/>
              </w:rPr>
            </w:pPr>
          </w:p>
          <w:p w:rsidR="00DD38CC" w:rsidRDefault="00DD38CC" w:rsidP="00DD38CC">
            <w:pPr>
              <w:rPr>
                <w:rFonts w:ascii="Arial" w:hAnsi="Arial"/>
                <w:sz w:val="20"/>
              </w:rPr>
            </w:pPr>
            <w:r>
              <w:rPr>
                <w:rFonts w:ascii="Arial" w:hAnsi="Arial"/>
                <w:sz w:val="20"/>
              </w:rPr>
              <w:t>PBS Home Video</w:t>
            </w:r>
          </w:p>
          <w:p w:rsidR="00DD38CC" w:rsidRDefault="00207128" w:rsidP="00DD38CC">
            <w:pPr>
              <w:rPr>
                <w:rFonts w:ascii="Arial" w:hAnsi="Arial"/>
                <w:sz w:val="20"/>
              </w:rPr>
            </w:pPr>
            <w:hyperlink r:id="rId18" w:history="1">
              <w:r w:rsidR="00DD38CC" w:rsidRPr="00323F29">
                <w:rPr>
                  <w:rStyle w:val="Hyperlink"/>
                  <w:rFonts w:ascii="Arial" w:hAnsi="Arial"/>
                  <w:sz w:val="20"/>
                </w:rPr>
                <w:t>http://www.shoppbs.org/search/index.jsp?kwCatId=&amp;kw=a%20class%20apart&amp;origkw=A+Class+Apart&amp;sr=1</w:t>
              </w:r>
            </w:hyperlink>
          </w:p>
          <w:p w:rsidR="00DD38CC" w:rsidRPr="003A57A8" w:rsidRDefault="00DD38CC" w:rsidP="00DD38CC">
            <w:pPr>
              <w:rPr>
                <w:rFonts w:ascii="Arial" w:hAnsi="Arial"/>
                <w:sz w:val="20"/>
              </w:rPr>
            </w:pPr>
          </w:p>
          <w:p w:rsidR="00DD38CC" w:rsidRDefault="00DD38CC" w:rsidP="00DD38CC">
            <w:pPr>
              <w:rPr>
                <w:rFonts w:ascii="Arial" w:hAnsi="Arial"/>
                <w:sz w:val="20"/>
              </w:rPr>
            </w:pPr>
          </w:p>
        </w:tc>
      </w:tr>
    </w:tbl>
    <w:p w:rsidR="00DD38CC" w:rsidRDefault="00DD38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8"/>
      </w:tblGrid>
      <w:tr w:rsidR="00DD38CC">
        <w:tc>
          <w:tcPr>
            <w:tcW w:w="10908" w:type="dxa"/>
          </w:tcPr>
          <w:p w:rsidR="00D76A5E" w:rsidRPr="00D76A5E" w:rsidRDefault="00DD38CC" w:rsidP="00D76A5E">
            <w:pPr>
              <w:pStyle w:val="Heading1"/>
            </w:pPr>
            <w:r w:rsidRPr="00357AA8">
              <w:lastRenderedPageBreak/>
              <w:t>Procedures/Activities</w:t>
            </w:r>
          </w:p>
          <w:p w:rsidR="00D76A5E" w:rsidRDefault="00DD38CC" w:rsidP="00DD38CC">
            <w:pPr>
              <w:pStyle w:val="BodyText"/>
              <w:rPr>
                <w:color w:val="auto"/>
              </w:rPr>
            </w:pPr>
            <w:r w:rsidRPr="00541F10">
              <w:rPr>
                <w:color w:val="auto"/>
                <w:u w:val="single"/>
              </w:rPr>
              <w:t>Engage</w:t>
            </w:r>
            <w:r w:rsidR="00541F10" w:rsidRPr="00541F10">
              <w:rPr>
                <w:color w:val="auto"/>
              </w:rPr>
              <w:t xml:space="preserve">— </w:t>
            </w:r>
            <w:r w:rsidRPr="00541F10">
              <w:rPr>
                <w:color w:val="auto"/>
              </w:rPr>
              <w:t>Begin</w:t>
            </w:r>
            <w:r w:rsidR="00541F10" w:rsidRPr="00541F10">
              <w:rPr>
                <w:color w:val="auto"/>
              </w:rPr>
              <w:t xml:space="preserve"> </w:t>
            </w:r>
            <w:r w:rsidRPr="00541F10">
              <w:rPr>
                <w:color w:val="auto"/>
              </w:rPr>
              <w:t xml:space="preserve">by telling the </w:t>
            </w:r>
            <w:r w:rsidR="00D76A5E" w:rsidRPr="00541F10">
              <w:rPr>
                <w:color w:val="auto"/>
              </w:rPr>
              <w:t>classes that they will help decide</w:t>
            </w:r>
            <w:r w:rsidRPr="00541F10">
              <w:rPr>
                <w:color w:val="auto"/>
              </w:rPr>
              <w:t xml:space="preserve"> a very important Supreme Court case. Go over </w:t>
            </w:r>
          </w:p>
          <w:p w:rsidR="00DD38CC" w:rsidRPr="00541F10" w:rsidRDefault="00D76A5E" w:rsidP="00DD38CC">
            <w:pPr>
              <w:pStyle w:val="BodyText"/>
              <w:rPr>
                <w:color w:val="auto"/>
              </w:rPr>
            </w:pPr>
            <w:r>
              <w:rPr>
                <w:color w:val="auto"/>
              </w:rPr>
              <w:t xml:space="preserve">                 </w:t>
            </w:r>
            <w:proofErr w:type="gramStart"/>
            <w:r w:rsidR="00DD38CC" w:rsidRPr="00541F10">
              <w:rPr>
                <w:color w:val="auto"/>
              </w:rPr>
              <w:t>definitions</w:t>
            </w:r>
            <w:proofErr w:type="gramEnd"/>
            <w:r w:rsidR="00DD38CC" w:rsidRPr="00541F10">
              <w:rPr>
                <w:color w:val="auto"/>
              </w:rPr>
              <w:t xml:space="preserve"> for: Petitioner, Respondent, grand jury, petit jury.</w:t>
            </w:r>
          </w:p>
          <w:p w:rsidR="00DD38CC" w:rsidRPr="00541F10" w:rsidRDefault="00DD38CC" w:rsidP="00DD38CC">
            <w:pPr>
              <w:pStyle w:val="BodyText"/>
              <w:rPr>
                <w:color w:val="auto"/>
              </w:rPr>
            </w:pPr>
          </w:p>
          <w:p w:rsidR="00DD38CC" w:rsidRPr="00541F10" w:rsidRDefault="00DD38CC" w:rsidP="00DD38CC">
            <w:pPr>
              <w:pStyle w:val="BodyText"/>
              <w:rPr>
                <w:color w:val="auto"/>
              </w:rPr>
            </w:pPr>
            <w:r w:rsidRPr="00541F10">
              <w:rPr>
                <w:color w:val="auto"/>
                <w:u w:val="single"/>
              </w:rPr>
              <w:t>Explain</w:t>
            </w:r>
            <w:r w:rsidR="00541F10" w:rsidRPr="00541F10">
              <w:rPr>
                <w:color w:val="auto"/>
              </w:rPr>
              <w:t xml:space="preserve">— Read the Facts of the Case </w:t>
            </w:r>
            <w:r w:rsidR="00C10F3F">
              <w:rPr>
                <w:color w:val="auto"/>
              </w:rPr>
              <w:t xml:space="preserve">and write the Question </w:t>
            </w:r>
            <w:r w:rsidRPr="00541F10">
              <w:rPr>
                <w:color w:val="auto"/>
              </w:rPr>
              <w:t xml:space="preserve">on the board (Overview of Case from the website).  </w:t>
            </w:r>
          </w:p>
          <w:p w:rsidR="00DD38CC" w:rsidRPr="00541F10" w:rsidRDefault="00DD38CC" w:rsidP="00DD38CC">
            <w:pPr>
              <w:pStyle w:val="BodyText"/>
              <w:rPr>
                <w:color w:val="auto"/>
              </w:rPr>
            </w:pPr>
          </w:p>
          <w:p w:rsidR="00DD38CC" w:rsidRPr="00541F10" w:rsidRDefault="00DD38CC" w:rsidP="00DD38CC">
            <w:pPr>
              <w:tabs>
                <w:tab w:val="left" w:pos="6034"/>
              </w:tabs>
              <w:spacing w:line="360" w:lineRule="auto"/>
              <w:rPr>
                <w:rFonts w:ascii="Arial" w:hAnsi="Arial" w:cs="Arial"/>
                <w:sz w:val="20"/>
                <w:szCs w:val="20"/>
              </w:rPr>
            </w:pPr>
            <w:r w:rsidRPr="00541F10">
              <w:rPr>
                <w:rFonts w:ascii="Arial" w:hAnsi="Arial" w:cs="Arial"/>
                <w:sz w:val="20"/>
                <w:szCs w:val="20"/>
                <w:u w:val="single"/>
              </w:rPr>
              <w:t>Explore</w:t>
            </w:r>
            <w:r w:rsidRPr="00541F10">
              <w:rPr>
                <w:rFonts w:ascii="Arial" w:hAnsi="Arial" w:cs="Arial"/>
                <w:sz w:val="20"/>
                <w:szCs w:val="20"/>
              </w:rPr>
              <w:t>—</w:t>
            </w:r>
            <w:r w:rsidR="00541F10" w:rsidRPr="00541F10">
              <w:rPr>
                <w:rFonts w:ascii="Arial" w:hAnsi="Arial" w:cs="Arial"/>
                <w:sz w:val="20"/>
                <w:szCs w:val="20"/>
              </w:rPr>
              <w:t xml:space="preserve">  </w:t>
            </w:r>
            <w:r w:rsidR="00D76A5E">
              <w:rPr>
                <w:rFonts w:ascii="Arial" w:hAnsi="Arial" w:cs="Arial"/>
                <w:sz w:val="20"/>
                <w:szCs w:val="20"/>
              </w:rPr>
              <w:t xml:space="preserve"> </w:t>
            </w:r>
            <w:r w:rsidRPr="00541F10">
              <w:rPr>
                <w:rFonts w:ascii="Arial" w:hAnsi="Arial" w:cs="Arial"/>
                <w:sz w:val="20"/>
                <w:szCs w:val="20"/>
              </w:rPr>
              <w:t>1</w:t>
            </w:r>
            <w:r w:rsidRPr="00541F10">
              <w:rPr>
                <w:rFonts w:ascii="Arial" w:hAnsi="Arial" w:cs="Arial"/>
              </w:rPr>
              <w:t xml:space="preserve">. </w:t>
            </w:r>
            <w:r w:rsidRPr="00541F10">
              <w:rPr>
                <w:rFonts w:ascii="Arial" w:hAnsi="Arial" w:cs="Arial"/>
                <w:sz w:val="20"/>
                <w:szCs w:val="20"/>
              </w:rPr>
              <w:t>Have the Chief Justice call the Court to order and read the Question from the board.</w:t>
            </w:r>
          </w:p>
          <w:p w:rsidR="00DD38CC" w:rsidRPr="00541F10" w:rsidRDefault="00DD38CC" w:rsidP="00DD38CC">
            <w:pPr>
              <w:tabs>
                <w:tab w:val="left" w:pos="6034"/>
              </w:tabs>
              <w:spacing w:line="360" w:lineRule="auto"/>
              <w:rPr>
                <w:rFonts w:ascii="Arial" w:hAnsi="Arial" w:cs="Arial"/>
                <w:sz w:val="20"/>
                <w:szCs w:val="20"/>
              </w:rPr>
            </w:pPr>
            <w:r w:rsidRPr="00541F10">
              <w:rPr>
                <w:rFonts w:ascii="Arial" w:hAnsi="Arial" w:cs="Arial"/>
                <w:sz w:val="20"/>
                <w:szCs w:val="20"/>
              </w:rPr>
              <w:t xml:space="preserve">                   2. Have the Special Gallery and the Justices take out paper to take notes on the arguments from both sides.</w:t>
            </w:r>
          </w:p>
          <w:p w:rsidR="00DD38CC" w:rsidRPr="00541F10" w:rsidRDefault="00DD38CC" w:rsidP="00DD38CC">
            <w:pPr>
              <w:tabs>
                <w:tab w:val="left" w:pos="270"/>
                <w:tab w:val="left" w:pos="6034"/>
              </w:tabs>
              <w:spacing w:line="360" w:lineRule="auto"/>
              <w:ind w:left="1080" w:hanging="1080"/>
              <w:rPr>
                <w:rFonts w:ascii="Arial" w:hAnsi="Arial" w:cs="Arial"/>
                <w:sz w:val="20"/>
                <w:szCs w:val="20"/>
              </w:rPr>
            </w:pPr>
            <w:r w:rsidRPr="00541F10">
              <w:rPr>
                <w:rFonts w:ascii="Arial" w:hAnsi="Arial" w:cs="Arial"/>
                <w:sz w:val="20"/>
                <w:szCs w:val="20"/>
              </w:rPr>
              <w:t xml:space="preserve">                   3. Have the Petitioner attorneys deliver their speeches and then the Respondent attorneys.</w:t>
            </w:r>
          </w:p>
          <w:p w:rsidR="00DD38CC" w:rsidRPr="00541F10" w:rsidRDefault="00DD38CC" w:rsidP="00DD38CC">
            <w:pPr>
              <w:tabs>
                <w:tab w:val="left" w:pos="6034"/>
              </w:tabs>
              <w:spacing w:line="360" w:lineRule="auto"/>
              <w:rPr>
                <w:rFonts w:ascii="Arial" w:hAnsi="Arial" w:cs="Arial"/>
                <w:sz w:val="20"/>
                <w:szCs w:val="20"/>
              </w:rPr>
            </w:pPr>
            <w:r w:rsidRPr="00541F10">
              <w:rPr>
                <w:rFonts w:ascii="Arial" w:hAnsi="Arial" w:cs="Arial"/>
                <w:sz w:val="20"/>
                <w:szCs w:val="20"/>
              </w:rPr>
              <w:t xml:space="preserve">                   4. Have the Justices and Special Gallery deliberate and write out their decisions with justification.</w:t>
            </w:r>
          </w:p>
          <w:p w:rsidR="00541F10" w:rsidRPr="00541F10" w:rsidRDefault="00DD38CC" w:rsidP="00DD38CC">
            <w:pPr>
              <w:tabs>
                <w:tab w:val="left" w:pos="6034"/>
              </w:tabs>
              <w:spacing w:line="360" w:lineRule="auto"/>
              <w:rPr>
                <w:rFonts w:ascii="Arial" w:hAnsi="Arial" w:cs="Arial"/>
                <w:sz w:val="20"/>
                <w:szCs w:val="20"/>
              </w:rPr>
            </w:pPr>
            <w:r w:rsidRPr="00541F10">
              <w:rPr>
                <w:rFonts w:ascii="Arial" w:hAnsi="Arial" w:cs="Arial"/>
                <w:sz w:val="20"/>
                <w:szCs w:val="20"/>
              </w:rPr>
              <w:t xml:space="preserve">                   5. Call on members of the Special Gallery to read their decisions first, then have the Chief Justice read the </w:t>
            </w:r>
          </w:p>
          <w:p w:rsidR="00DD38CC" w:rsidRPr="00541F10" w:rsidRDefault="00541F10" w:rsidP="00DD38CC">
            <w:pPr>
              <w:tabs>
                <w:tab w:val="left" w:pos="6034"/>
              </w:tabs>
              <w:spacing w:line="360" w:lineRule="auto"/>
              <w:rPr>
                <w:rFonts w:ascii="Arial" w:hAnsi="Arial" w:cs="Arial"/>
                <w:sz w:val="20"/>
                <w:szCs w:val="20"/>
              </w:rPr>
            </w:pPr>
            <w:r w:rsidRPr="00541F10">
              <w:rPr>
                <w:rFonts w:ascii="Arial" w:hAnsi="Arial" w:cs="Arial"/>
                <w:sz w:val="20"/>
                <w:szCs w:val="20"/>
              </w:rPr>
              <w:t xml:space="preserve">            </w:t>
            </w:r>
            <w:r w:rsidR="00DD38CC" w:rsidRPr="00541F10">
              <w:rPr>
                <w:rFonts w:ascii="Arial" w:hAnsi="Arial" w:cs="Arial"/>
                <w:sz w:val="20"/>
                <w:szCs w:val="20"/>
              </w:rPr>
              <w:t xml:space="preserve">           decision of the majority of the Court.</w:t>
            </w:r>
          </w:p>
          <w:p w:rsidR="00541F10" w:rsidRPr="00541F10" w:rsidRDefault="00D76A5E" w:rsidP="00DD38CC">
            <w:pPr>
              <w:tabs>
                <w:tab w:val="left" w:pos="6034"/>
              </w:tabs>
              <w:spacing w:line="360" w:lineRule="auto"/>
              <w:rPr>
                <w:rFonts w:ascii="Arial" w:hAnsi="Arial" w:cs="Arial"/>
                <w:sz w:val="20"/>
                <w:szCs w:val="20"/>
              </w:rPr>
            </w:pPr>
            <w:r>
              <w:rPr>
                <w:rFonts w:ascii="Arial" w:hAnsi="Arial" w:cs="Arial"/>
                <w:sz w:val="20"/>
                <w:szCs w:val="20"/>
              </w:rPr>
              <w:t xml:space="preserve">                   </w:t>
            </w:r>
            <w:r w:rsidR="00DD38CC" w:rsidRPr="00541F10">
              <w:rPr>
                <w:rFonts w:ascii="Arial" w:hAnsi="Arial" w:cs="Arial"/>
                <w:sz w:val="20"/>
                <w:szCs w:val="20"/>
              </w:rPr>
              <w:t>6.</w:t>
            </w:r>
            <w:r w:rsidR="00541F10" w:rsidRPr="00541F10">
              <w:rPr>
                <w:rFonts w:ascii="Arial" w:hAnsi="Arial" w:cs="Arial"/>
                <w:sz w:val="20"/>
                <w:szCs w:val="20"/>
              </w:rPr>
              <w:t xml:space="preserve"> </w:t>
            </w:r>
            <w:r w:rsidR="00DD38CC" w:rsidRPr="00541F10">
              <w:rPr>
                <w:rFonts w:ascii="Arial" w:hAnsi="Arial" w:cs="Arial"/>
                <w:sz w:val="20"/>
                <w:szCs w:val="20"/>
              </w:rPr>
              <w:t>Compare the 2 decisions noting similarities and differences. Questions?</w:t>
            </w:r>
          </w:p>
          <w:p w:rsidR="00DD38CC" w:rsidRPr="00541F10" w:rsidRDefault="00DD38CC" w:rsidP="00DD38CC">
            <w:pPr>
              <w:tabs>
                <w:tab w:val="left" w:pos="6034"/>
              </w:tabs>
              <w:spacing w:line="360" w:lineRule="auto"/>
              <w:rPr>
                <w:rFonts w:ascii="Arial" w:hAnsi="Arial" w:cs="Arial"/>
                <w:sz w:val="20"/>
                <w:szCs w:val="20"/>
              </w:rPr>
            </w:pPr>
            <w:r w:rsidRPr="00541F10">
              <w:rPr>
                <w:rFonts w:ascii="Arial" w:hAnsi="Arial" w:cs="Arial"/>
                <w:sz w:val="20"/>
                <w:szCs w:val="20"/>
                <w:u w:val="single"/>
              </w:rPr>
              <w:t>Culminating Activity</w:t>
            </w:r>
            <w:r w:rsidR="00541F10">
              <w:rPr>
                <w:rFonts w:ascii="Arial" w:hAnsi="Arial" w:cs="Arial"/>
                <w:sz w:val="20"/>
                <w:szCs w:val="20"/>
              </w:rPr>
              <w:t>—</w:t>
            </w:r>
            <w:r w:rsidRPr="00541F10">
              <w:rPr>
                <w:rFonts w:ascii="Arial" w:hAnsi="Arial" w:cs="Arial"/>
                <w:sz w:val="20"/>
                <w:szCs w:val="20"/>
              </w:rPr>
              <w:t xml:space="preserve"> assign the essay, “Hernandez v. Texas—A Class Apart”.</w:t>
            </w:r>
          </w:p>
          <w:p w:rsidR="00DD38CC" w:rsidRPr="00357AA8" w:rsidRDefault="00DD38CC" w:rsidP="00DD38CC">
            <w:pPr>
              <w:pStyle w:val="BodyText"/>
              <w:rPr>
                <w:color w:val="auto"/>
              </w:rPr>
            </w:pPr>
          </w:p>
        </w:tc>
      </w:tr>
      <w:tr w:rsidR="00DD38CC">
        <w:trPr>
          <w:cantSplit/>
          <w:trHeight w:val="872"/>
        </w:trPr>
        <w:tc>
          <w:tcPr>
            <w:tcW w:w="10908" w:type="dxa"/>
          </w:tcPr>
          <w:p w:rsidR="00DD38CC" w:rsidRDefault="00DD38CC">
            <w:pPr>
              <w:pStyle w:val="Heading1"/>
              <w:rPr>
                <w:b w:val="0"/>
              </w:rPr>
            </w:pPr>
            <w:r>
              <w:t>Assessment(s)</w:t>
            </w:r>
          </w:p>
          <w:p w:rsidR="00DD38CC" w:rsidRPr="00075E22" w:rsidRDefault="00DD38CC" w:rsidP="00DD38CC">
            <w:pPr>
              <w:pStyle w:val="BodyText"/>
              <w:rPr>
                <w:iCs/>
                <w:color w:val="auto"/>
              </w:rPr>
            </w:pPr>
            <w:r>
              <w:rPr>
                <w:iCs/>
                <w:color w:val="auto"/>
              </w:rPr>
              <w:t>Evaluate—Have students write an essay, “</w:t>
            </w:r>
            <w:r>
              <w:rPr>
                <w:i/>
                <w:iCs/>
                <w:color w:val="auto"/>
              </w:rPr>
              <w:t>Hernandez v. Texas</w:t>
            </w:r>
            <w:r>
              <w:rPr>
                <w:iCs/>
                <w:color w:val="auto"/>
              </w:rPr>
              <w:t>—A Class Apart”. Must include: Case summary, Petitioner position, Respondent position, decision, and student reflection on whether or not persons of Latin American origin or descent are still treated as “A Class Apart”.</w:t>
            </w:r>
            <w:r w:rsidR="00924F7D">
              <w:rPr>
                <w:iCs/>
                <w:color w:val="auto"/>
              </w:rPr>
              <w:t xml:space="preserve">  (See rubric in “Materials Needed” section.)</w:t>
            </w:r>
          </w:p>
          <w:p w:rsidR="00DD38CC" w:rsidRPr="00151004" w:rsidRDefault="00DD38CC" w:rsidP="00DD38CC">
            <w:pPr>
              <w:pStyle w:val="BodyText"/>
              <w:rPr>
                <w:iCs/>
              </w:rPr>
            </w:pPr>
          </w:p>
        </w:tc>
      </w:tr>
      <w:tr w:rsidR="00DD38CC">
        <w:trPr>
          <w:cantSplit/>
          <w:trHeight w:val="1124"/>
        </w:trPr>
        <w:tc>
          <w:tcPr>
            <w:tcW w:w="10908" w:type="dxa"/>
          </w:tcPr>
          <w:p w:rsidR="00DD38CC" w:rsidRDefault="00DD38CC" w:rsidP="00DD38CC">
            <w:pPr>
              <w:pStyle w:val="Heading1"/>
            </w:pPr>
            <w:r>
              <w:t>Instructional Alternatives</w:t>
            </w:r>
          </w:p>
          <w:p w:rsidR="00DD38CC" w:rsidRPr="00ED63A8" w:rsidRDefault="00DD38CC" w:rsidP="00DD38CC">
            <w:pPr>
              <w:rPr>
                <w:rFonts w:ascii="Arial" w:hAnsi="Arial" w:cs="Arial"/>
                <w:sz w:val="20"/>
                <w:szCs w:val="20"/>
              </w:rPr>
            </w:pPr>
            <w:r>
              <w:rPr>
                <w:rFonts w:ascii="Arial" w:hAnsi="Arial" w:cs="Arial"/>
                <w:sz w:val="20"/>
                <w:szCs w:val="20"/>
              </w:rPr>
              <w:t>Extend—Have students interview relatives, friends, neighbors, teachers, and others from a variety of socio-economic backgrounds to discover the current citizen perspective: whether or not persons of Latin American origin or descent are still treated as “A Class Apart” (Sample questions included).</w:t>
            </w:r>
          </w:p>
        </w:tc>
      </w:tr>
      <w:tr w:rsidR="00DD38CC">
        <w:trPr>
          <w:cantSplit/>
          <w:trHeight w:val="1061"/>
        </w:trPr>
        <w:tc>
          <w:tcPr>
            <w:tcW w:w="10908" w:type="dxa"/>
          </w:tcPr>
          <w:p w:rsidR="00DD38CC" w:rsidRPr="00541F10" w:rsidRDefault="00DD38CC">
            <w:pPr>
              <w:pStyle w:val="Heading1"/>
            </w:pPr>
            <w:r w:rsidRPr="00541F10">
              <w:t>Interdisciplinary Connections</w:t>
            </w:r>
          </w:p>
          <w:p w:rsidR="00DD38CC" w:rsidRDefault="00DD38CC" w:rsidP="00DD38CC">
            <w:pPr>
              <w:rPr>
                <w:rFonts w:ascii="Arial" w:hAnsi="Arial"/>
                <w:sz w:val="20"/>
              </w:rPr>
            </w:pPr>
            <w:r w:rsidRPr="00006EBD">
              <w:rPr>
                <w:rFonts w:ascii="Arial" w:hAnsi="Arial"/>
                <w:sz w:val="20"/>
              </w:rPr>
              <w:t>Reading, writing, and oral presentations/interviews across the Language Arts and Social Studies curriculum.</w:t>
            </w:r>
          </w:p>
          <w:p w:rsidR="003602E5" w:rsidRDefault="003602E5" w:rsidP="00DD38CC">
            <w:pPr>
              <w:rPr>
                <w:rFonts w:ascii="Arial" w:hAnsi="Arial"/>
                <w:sz w:val="20"/>
              </w:rPr>
            </w:pPr>
          </w:p>
          <w:p w:rsidR="00924F7D" w:rsidRDefault="001F1C16" w:rsidP="00DD38CC">
            <w:pPr>
              <w:rPr>
                <w:rFonts w:ascii="Arial" w:hAnsi="Arial"/>
                <w:sz w:val="20"/>
              </w:rPr>
            </w:pPr>
            <w:r w:rsidRPr="001F1C16">
              <w:rPr>
                <w:rFonts w:ascii="Arial" w:hAnsi="Arial"/>
                <w:sz w:val="20"/>
              </w:rPr>
              <w:t>110.33. English Language Arts and Reading, English III</w:t>
            </w:r>
          </w:p>
          <w:p w:rsidR="001F1C16" w:rsidRPr="009A4DEB" w:rsidRDefault="001F1C16" w:rsidP="009A4DEB">
            <w:pPr>
              <w:ind w:left="720"/>
              <w:rPr>
                <w:rFonts w:ascii="Arial" w:hAnsi="Arial" w:cs="Arial"/>
                <w:sz w:val="20"/>
              </w:rPr>
            </w:pPr>
            <w:r w:rsidRPr="001F1C16">
              <w:rPr>
                <w:rFonts w:ascii="Arial" w:hAnsi="Arial" w:cs="Arial"/>
                <w:color w:val="7030A0"/>
                <w:sz w:val="20"/>
              </w:rPr>
              <w:t>(</w:t>
            </w:r>
            <w:r w:rsidRPr="009A4DEB">
              <w:rPr>
                <w:rFonts w:ascii="Arial" w:hAnsi="Arial" w:cs="Arial"/>
                <w:sz w:val="20"/>
              </w:rPr>
              <w:t>2)  Reading/Comprehension of Literary Text/Theme and Genre. Students analyze, make inferences and draw conclusions about theme and genre in different cultural, historical, and contemporary contexts and provide evidence from the text to support their understanding. Students are expected to:</w:t>
            </w:r>
          </w:p>
          <w:p w:rsidR="001F1C16" w:rsidRPr="009A4DEB" w:rsidRDefault="001F1C16" w:rsidP="009A4DEB">
            <w:pPr>
              <w:ind w:left="1440"/>
              <w:rPr>
                <w:rFonts w:ascii="Arial" w:hAnsi="Arial" w:cs="Arial"/>
                <w:sz w:val="20"/>
              </w:rPr>
            </w:pPr>
            <w:r w:rsidRPr="009A4DEB">
              <w:rPr>
                <w:rFonts w:ascii="Arial" w:hAnsi="Arial" w:cs="Arial"/>
                <w:sz w:val="20"/>
              </w:rPr>
              <w:t>(A)  analyze the way in which the theme or meaning of a selection represents a view or comment on the human condition</w:t>
            </w:r>
          </w:p>
          <w:p w:rsidR="00924F7D" w:rsidRPr="00924F7D" w:rsidRDefault="00924F7D" w:rsidP="00DD38CC">
            <w:pPr>
              <w:rPr>
                <w:rFonts w:ascii="Arial" w:hAnsi="Arial" w:cs="Arial"/>
                <w:color w:val="7030A0"/>
                <w:sz w:val="20"/>
              </w:rPr>
            </w:pPr>
          </w:p>
        </w:tc>
      </w:tr>
    </w:tbl>
    <w:p w:rsidR="00DD38CC" w:rsidRPr="00CD53EA" w:rsidRDefault="00DD38CC" w:rsidP="00DD38CC">
      <w:pPr>
        <w:rPr>
          <w:rFonts w:ascii="Arial Narrow" w:hAnsi="Arial Narrow"/>
          <w:sz w:val="20"/>
        </w:rPr>
      </w:pPr>
    </w:p>
    <w:p w:rsidR="00DD38CC" w:rsidRDefault="00DD38CC">
      <w:pPr>
        <w:tabs>
          <w:tab w:val="left" w:pos="6034"/>
        </w:tabs>
        <w:jc w:val="center"/>
        <w:rPr>
          <w:rFonts w:ascii="Arial" w:hAnsi="Arial"/>
          <w:b/>
          <w:sz w:val="20"/>
        </w:rPr>
      </w:pPr>
    </w:p>
    <w:sectPr w:rsidR="00DD38CC" w:rsidSect="00DD38CC">
      <w:headerReference w:type="default" r:id="rId19"/>
      <w:headerReference w:type="first" r:id="rId2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743" w:rsidRDefault="00547743" w:rsidP="00DD38CC">
      <w:r>
        <w:separator/>
      </w:r>
    </w:p>
  </w:endnote>
  <w:endnote w:type="continuationSeparator" w:id="0">
    <w:p w:rsidR="00547743" w:rsidRDefault="00547743" w:rsidP="00DD38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743" w:rsidRDefault="00547743" w:rsidP="00DD38CC">
      <w:r>
        <w:separator/>
      </w:r>
    </w:p>
  </w:footnote>
  <w:footnote w:type="continuationSeparator" w:id="0">
    <w:p w:rsidR="00547743" w:rsidRDefault="00547743" w:rsidP="00DD3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0B" w:rsidRDefault="0076060B" w:rsidP="00DD38C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0B" w:rsidRDefault="002E0E44" w:rsidP="00DD38CC">
    <w:pPr>
      <w:pStyle w:val="Header"/>
      <w:jc w:val="center"/>
    </w:pPr>
    <w:r>
      <w:rPr>
        <w:noProof/>
      </w:rPr>
      <w:drawing>
        <wp:anchor distT="0" distB="0" distL="114300" distR="114300" simplePos="0" relativeHeight="251657728" behindDoc="0" locked="0" layoutInCell="1" allowOverlap="1">
          <wp:simplePos x="0" y="0"/>
          <wp:positionH relativeFrom="column">
            <wp:posOffset>2945765</wp:posOffset>
          </wp:positionH>
          <wp:positionV relativeFrom="paragraph">
            <wp:posOffset>-314325</wp:posOffset>
          </wp:positionV>
          <wp:extent cx="906780" cy="439420"/>
          <wp:effectExtent l="19050" t="0" r="7620" b="0"/>
          <wp:wrapNone/>
          <wp:docPr id="2" name="Picture 2" descr="Global Tomorrow Logo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Tomorrow Logo 08"/>
                  <pic:cNvPicPr>
                    <a:picLocks noChangeAspect="1" noChangeArrowheads="1"/>
                  </pic:cNvPicPr>
                </pic:nvPicPr>
                <pic:blipFill>
                  <a:blip r:embed="rId1"/>
                  <a:srcRect/>
                  <a:stretch>
                    <a:fillRect/>
                  </a:stretch>
                </pic:blipFill>
                <pic:spPr bwMode="auto">
                  <a:xfrm>
                    <a:off x="0" y="0"/>
                    <a:ext cx="906780" cy="4394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4C73"/>
    <w:multiLevelType w:val="hybridMultilevel"/>
    <w:tmpl w:val="2EC45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81563C"/>
    <w:multiLevelType w:val="hybridMultilevel"/>
    <w:tmpl w:val="EC88B142"/>
    <w:lvl w:ilvl="0" w:tplc="7F1015DC">
      <w:start w:val="1"/>
      <w:numFmt w:val="upperLetter"/>
      <w:lvlText w:val="%1."/>
      <w:lvlJc w:val="left"/>
      <w:pPr>
        <w:tabs>
          <w:tab w:val="num" w:pos="1605"/>
        </w:tabs>
        <w:ind w:left="1605" w:hanging="435"/>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28E9247B"/>
    <w:multiLevelType w:val="hybridMultilevel"/>
    <w:tmpl w:val="69F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84E37"/>
    <w:multiLevelType w:val="hybridMultilevel"/>
    <w:tmpl w:val="C1D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038AD"/>
    <w:multiLevelType w:val="hybridMultilevel"/>
    <w:tmpl w:val="7812B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EC12242"/>
    <w:multiLevelType w:val="hybridMultilevel"/>
    <w:tmpl w:val="652A8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787E9F"/>
    <w:multiLevelType w:val="hybridMultilevel"/>
    <w:tmpl w:val="BB262C82"/>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A5D42"/>
    <w:multiLevelType w:val="hybridMultilevel"/>
    <w:tmpl w:val="18FA9E52"/>
    <w:lvl w:ilvl="0" w:tplc="1458DB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851B2"/>
    <w:multiLevelType w:val="hybridMultilevel"/>
    <w:tmpl w:val="A454C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EE1FFD"/>
    <w:multiLevelType w:val="hybridMultilevel"/>
    <w:tmpl w:val="68305B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B1A46D6"/>
    <w:multiLevelType w:val="hybridMultilevel"/>
    <w:tmpl w:val="250A6F06"/>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713711"/>
    <w:multiLevelType w:val="hybridMultilevel"/>
    <w:tmpl w:val="83AE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AD7F5E"/>
    <w:multiLevelType w:val="hybridMultilevel"/>
    <w:tmpl w:val="157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63100"/>
    <w:multiLevelType w:val="hybridMultilevel"/>
    <w:tmpl w:val="F0A6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A0B88"/>
    <w:multiLevelType w:val="hybridMultilevel"/>
    <w:tmpl w:val="2E7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9B2A60"/>
    <w:multiLevelType w:val="hybridMultilevel"/>
    <w:tmpl w:val="A5401D7E"/>
    <w:lvl w:ilvl="0" w:tplc="3DF695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7B02D0"/>
    <w:multiLevelType w:val="hybridMultilevel"/>
    <w:tmpl w:val="386A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CC6AF7"/>
    <w:multiLevelType w:val="hybridMultilevel"/>
    <w:tmpl w:val="C384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9"/>
  </w:num>
  <w:num w:numId="5">
    <w:abstractNumId w:val="4"/>
  </w:num>
  <w:num w:numId="6">
    <w:abstractNumId w:val="11"/>
  </w:num>
  <w:num w:numId="7">
    <w:abstractNumId w:val="3"/>
  </w:num>
  <w:num w:numId="8">
    <w:abstractNumId w:val="7"/>
  </w:num>
  <w:num w:numId="9">
    <w:abstractNumId w:val="16"/>
  </w:num>
  <w:num w:numId="10">
    <w:abstractNumId w:val="12"/>
  </w:num>
  <w:num w:numId="11">
    <w:abstractNumId w:val="2"/>
  </w:num>
  <w:num w:numId="12">
    <w:abstractNumId w:val="0"/>
  </w:num>
  <w:num w:numId="13">
    <w:abstractNumId w:val="10"/>
  </w:num>
  <w:num w:numId="14">
    <w:abstractNumId w:val="6"/>
  </w:num>
  <w:num w:numId="15">
    <w:abstractNumId w:val="15"/>
  </w:num>
  <w:num w:numId="16">
    <w:abstractNumId w:val="14"/>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494377"/>
    <w:rsid w:val="0002051A"/>
    <w:rsid w:val="001F1C16"/>
    <w:rsid w:val="00207128"/>
    <w:rsid w:val="00232238"/>
    <w:rsid w:val="002E0E44"/>
    <w:rsid w:val="003602E5"/>
    <w:rsid w:val="003D765D"/>
    <w:rsid w:val="00471334"/>
    <w:rsid w:val="00494377"/>
    <w:rsid w:val="00541F10"/>
    <w:rsid w:val="00547743"/>
    <w:rsid w:val="00711131"/>
    <w:rsid w:val="0076060B"/>
    <w:rsid w:val="008A6D5A"/>
    <w:rsid w:val="008B4DEF"/>
    <w:rsid w:val="00924F7D"/>
    <w:rsid w:val="009A4DEB"/>
    <w:rsid w:val="00B7638E"/>
    <w:rsid w:val="00C10F3F"/>
    <w:rsid w:val="00D1306D"/>
    <w:rsid w:val="00D6041A"/>
    <w:rsid w:val="00D76A5E"/>
    <w:rsid w:val="00DD38CC"/>
    <w:rsid w:val="00EE55FE"/>
    <w:rsid w:val="00F60525"/>
    <w:rsid w:val="00FC1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128"/>
    <w:rPr>
      <w:sz w:val="24"/>
      <w:szCs w:val="24"/>
    </w:rPr>
  </w:style>
  <w:style w:type="paragraph" w:styleId="Heading1">
    <w:name w:val="heading 1"/>
    <w:basedOn w:val="Normal"/>
    <w:next w:val="Normal"/>
    <w:qFormat/>
    <w:rsid w:val="00207128"/>
    <w:pPr>
      <w:keepNext/>
      <w:tabs>
        <w:tab w:val="left" w:pos="6034"/>
      </w:tabs>
      <w:outlineLvl w:val="0"/>
    </w:pPr>
    <w:rPr>
      <w:rFonts w:ascii="Arial" w:hAnsi="Arial" w:cs="Arial"/>
      <w:b/>
      <w:bCs/>
      <w:sz w:val="20"/>
    </w:rPr>
  </w:style>
  <w:style w:type="paragraph" w:styleId="Heading7">
    <w:name w:val="heading 7"/>
    <w:basedOn w:val="Normal"/>
    <w:next w:val="Normal"/>
    <w:qFormat/>
    <w:rsid w:val="00EA73F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7128"/>
    <w:rPr>
      <w:rFonts w:ascii="Arial" w:hAnsi="Arial" w:cs="Arial"/>
      <w:color w:val="999999"/>
      <w:sz w:val="20"/>
    </w:rPr>
  </w:style>
  <w:style w:type="character" w:styleId="Hyperlink">
    <w:name w:val="Hyperlink"/>
    <w:basedOn w:val="DefaultParagraphFont"/>
    <w:rsid w:val="00207128"/>
    <w:rPr>
      <w:color w:val="0000FF"/>
      <w:u w:val="single"/>
    </w:rPr>
  </w:style>
  <w:style w:type="paragraph" w:styleId="ListParagraph">
    <w:name w:val="List Paragraph"/>
    <w:basedOn w:val="Normal"/>
    <w:qFormat/>
    <w:rsid w:val="009B073E"/>
    <w:pPr>
      <w:spacing w:after="200"/>
      <w:ind w:left="720"/>
    </w:pPr>
    <w:rPr>
      <w:rFonts w:ascii="Calibri" w:hAnsi="Calibri"/>
      <w:sz w:val="22"/>
      <w:szCs w:val="22"/>
    </w:rPr>
  </w:style>
  <w:style w:type="paragraph" w:customStyle="1" w:styleId="paragraph1">
    <w:name w:val="paragraph1"/>
    <w:basedOn w:val="Normal"/>
    <w:rsid w:val="00501DB7"/>
    <w:pPr>
      <w:shd w:val="clear" w:color="auto" w:fill="FFFFFF"/>
      <w:spacing w:before="100" w:beforeAutospacing="1" w:after="100" w:afterAutospacing="1"/>
      <w:ind w:left="720"/>
    </w:pPr>
    <w:rPr>
      <w:color w:val="000080"/>
    </w:rPr>
  </w:style>
  <w:style w:type="paragraph" w:styleId="Header">
    <w:name w:val="header"/>
    <w:basedOn w:val="Normal"/>
    <w:link w:val="HeaderChar"/>
    <w:rsid w:val="006944F3"/>
    <w:pPr>
      <w:tabs>
        <w:tab w:val="center" w:pos="4680"/>
        <w:tab w:val="right" w:pos="9360"/>
      </w:tabs>
    </w:pPr>
  </w:style>
  <w:style w:type="character" w:customStyle="1" w:styleId="HeaderChar">
    <w:name w:val="Header Char"/>
    <w:basedOn w:val="DefaultParagraphFont"/>
    <w:link w:val="Header"/>
    <w:rsid w:val="006944F3"/>
    <w:rPr>
      <w:sz w:val="24"/>
      <w:szCs w:val="24"/>
    </w:rPr>
  </w:style>
  <w:style w:type="paragraph" w:styleId="Footer">
    <w:name w:val="footer"/>
    <w:basedOn w:val="Normal"/>
    <w:link w:val="FooterChar"/>
    <w:rsid w:val="006944F3"/>
    <w:pPr>
      <w:tabs>
        <w:tab w:val="center" w:pos="4680"/>
        <w:tab w:val="right" w:pos="9360"/>
      </w:tabs>
    </w:pPr>
  </w:style>
  <w:style w:type="character" w:customStyle="1" w:styleId="FooterChar">
    <w:name w:val="Footer Char"/>
    <w:basedOn w:val="DefaultParagraphFont"/>
    <w:link w:val="Footer"/>
    <w:rsid w:val="006944F3"/>
    <w:rPr>
      <w:sz w:val="24"/>
      <w:szCs w:val="24"/>
    </w:rPr>
  </w:style>
</w:styles>
</file>

<file path=word/webSettings.xml><?xml version="1.0" encoding="utf-8"?>
<w:webSettings xmlns:r="http://schemas.openxmlformats.org/officeDocument/2006/relationships" xmlns:w="http://schemas.openxmlformats.org/wordprocessingml/2006/main">
  <w:divs>
    <w:div w:id="51276726">
      <w:bodyDiv w:val="1"/>
      <w:marLeft w:val="0"/>
      <w:marRight w:val="0"/>
      <w:marTop w:val="0"/>
      <w:marBottom w:val="0"/>
      <w:divBdr>
        <w:top w:val="none" w:sz="0" w:space="0" w:color="auto"/>
        <w:left w:val="none" w:sz="0" w:space="0" w:color="auto"/>
        <w:bottom w:val="none" w:sz="0" w:space="0" w:color="auto"/>
        <w:right w:val="none" w:sz="0" w:space="0" w:color="auto"/>
      </w:divBdr>
    </w:div>
    <w:div w:id="362554827">
      <w:bodyDiv w:val="1"/>
      <w:marLeft w:val="0"/>
      <w:marRight w:val="0"/>
      <w:marTop w:val="0"/>
      <w:marBottom w:val="0"/>
      <w:divBdr>
        <w:top w:val="none" w:sz="0" w:space="0" w:color="auto"/>
        <w:left w:val="none" w:sz="0" w:space="0" w:color="auto"/>
        <w:bottom w:val="none" w:sz="0" w:space="0" w:color="auto"/>
        <w:right w:val="none" w:sz="0" w:space="0" w:color="auto"/>
      </w:divBdr>
      <w:divsChild>
        <w:div w:id="424618668">
          <w:marLeft w:val="0"/>
          <w:marRight w:val="0"/>
          <w:marTop w:val="0"/>
          <w:marBottom w:val="0"/>
          <w:divBdr>
            <w:top w:val="none" w:sz="0" w:space="0" w:color="auto"/>
            <w:left w:val="none" w:sz="0" w:space="0" w:color="auto"/>
            <w:bottom w:val="none" w:sz="0" w:space="0" w:color="auto"/>
            <w:right w:val="none" w:sz="0" w:space="0" w:color="auto"/>
          </w:divBdr>
        </w:div>
      </w:divsChild>
    </w:div>
    <w:div w:id="13655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Word_97_-_2003_Document3.doc"/><Relationship Id="rId18" Type="http://schemas.openxmlformats.org/officeDocument/2006/relationships/hyperlink" Target="http://www.shoppbs.org/search/index.jsp?kwCatId=&amp;kw=a%20class%20apart&amp;origkw=A+Class+Apart&amp;sr=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law.uh.edu/Hernandez50/Olivasbriefs.pdf" TargetMode="External"/><Relationship Id="rId2" Type="http://schemas.openxmlformats.org/officeDocument/2006/relationships/numbering" Target="numbering.xml"/><Relationship Id="rId16" Type="http://schemas.openxmlformats.org/officeDocument/2006/relationships/hyperlink" Target="http://www.oyez.org/cases/1950-1959/1953/1953_40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Word_97_-_2003_Document2.doc"/><Relationship Id="rId5" Type="http://schemas.openxmlformats.org/officeDocument/2006/relationships/webSettings" Target="webSettings.xml"/><Relationship Id="rId15" Type="http://schemas.openxmlformats.org/officeDocument/2006/relationships/oleObject" Target="embeddings/Microsoft_Office_Excel_97-2003_Worksheet4.xls"/><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openxmlformats.org/officeDocument/2006/relationships/image" Target="media/image4.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AEEF-4CDD-43BF-842B-5DEBA613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Model Lesson Plan</vt:lpstr>
    </vt:vector>
  </TitlesOfParts>
  <Company>FBISD</Company>
  <LinksUpToDate>false</LinksUpToDate>
  <CharactersWithSpaces>5093</CharactersWithSpaces>
  <SharedDoc>false</SharedDoc>
  <HLinks>
    <vt:vector size="18" baseType="variant">
      <vt:variant>
        <vt:i4>7078013</vt:i4>
      </vt:variant>
      <vt:variant>
        <vt:i4>18</vt:i4>
      </vt:variant>
      <vt:variant>
        <vt:i4>0</vt:i4>
      </vt:variant>
      <vt:variant>
        <vt:i4>5</vt:i4>
      </vt:variant>
      <vt:variant>
        <vt:lpwstr>http://www.shoppbs.org/search/index.jsp?kwCatId=&amp;kw=a%20class%20apart&amp;origkw=A+Class+Apart&amp;sr=1</vt:lpwstr>
      </vt:variant>
      <vt:variant>
        <vt:lpwstr/>
      </vt:variant>
      <vt:variant>
        <vt:i4>2162802</vt:i4>
      </vt:variant>
      <vt:variant>
        <vt:i4>15</vt:i4>
      </vt:variant>
      <vt:variant>
        <vt:i4>0</vt:i4>
      </vt:variant>
      <vt:variant>
        <vt:i4>5</vt:i4>
      </vt:variant>
      <vt:variant>
        <vt:lpwstr>http://www.law.uh.edu/Hernandez50/Olivasbriefs.pdf</vt:lpwstr>
      </vt:variant>
      <vt:variant>
        <vt:lpwstr/>
      </vt:variant>
      <vt:variant>
        <vt:i4>3801092</vt:i4>
      </vt:variant>
      <vt:variant>
        <vt:i4>12</vt:i4>
      </vt:variant>
      <vt:variant>
        <vt:i4>0</vt:i4>
      </vt:variant>
      <vt:variant>
        <vt:i4>5</vt:i4>
      </vt:variant>
      <vt:variant>
        <vt:lpwstr>http://www.oyez.org/cases/1950-1959/1953/1953_406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Lesson Plan</dc:title>
  <dc:subject/>
  <dc:creator>FORT BEND ISD</dc:creator>
  <cp:keywords/>
  <dc:description/>
  <cp:lastModifiedBy>deborah.pellikan</cp:lastModifiedBy>
  <cp:revision>6</cp:revision>
  <cp:lastPrinted>2004-06-02T19:35:00Z</cp:lastPrinted>
  <dcterms:created xsi:type="dcterms:W3CDTF">2013-01-22T14:35:00Z</dcterms:created>
  <dcterms:modified xsi:type="dcterms:W3CDTF">2013-01-22T14:40:00Z</dcterms:modified>
</cp:coreProperties>
</file>